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1"/>
        <w:ind w:left="263" w:right="401"/>
        <w:jc w:val="center"/>
      </w:pPr>
      <w:r>
        <w:rPr/>
        <w:t>Дополнительное</w:t>
      </w:r>
      <w:r>
        <w:rPr>
          <w:spacing w:val="-7"/>
        </w:rPr>
        <w:t> </w:t>
      </w:r>
      <w:r>
        <w:rPr/>
        <w:t>соглашение</w:t>
      </w:r>
      <w:r>
        <w:rPr>
          <w:spacing w:val="-7"/>
        </w:rPr>
        <w:t> </w:t>
      </w:r>
      <w:r>
        <w:rPr>
          <w:spacing w:val="-5"/>
        </w:rPr>
        <w:t>№1</w:t>
      </w:r>
    </w:p>
    <w:p>
      <w:pPr>
        <w:pStyle w:val="BodyText"/>
        <w:ind w:left="261" w:right="401"/>
        <w:jc w:val="center"/>
      </w:pPr>
      <w:r>
        <w:rPr/>
        <w:t>к</w:t>
      </w:r>
      <w:r>
        <w:rPr>
          <w:spacing w:val="-4"/>
        </w:rPr>
        <w:t> </w:t>
      </w:r>
      <w:r>
        <w:rPr/>
        <w:t>соглашению</w:t>
      </w:r>
      <w:r>
        <w:rPr>
          <w:spacing w:val="-5"/>
        </w:rPr>
        <w:t> </w:t>
      </w:r>
      <w:r>
        <w:rPr/>
        <w:t>№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19.02.2026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долевом</w:t>
      </w:r>
      <w:r>
        <w:rPr>
          <w:spacing w:val="-4"/>
        </w:rPr>
        <w:t> </w:t>
      </w:r>
      <w:r>
        <w:rPr/>
        <w:t>финансировании</w:t>
      </w:r>
      <w:r>
        <w:rPr>
          <w:spacing w:val="-4"/>
        </w:rPr>
        <w:t> </w:t>
      </w:r>
      <w:r>
        <w:rPr/>
        <w:t>мероприятий по переселению граждан из аварийного жилищного фонда</w:t>
      </w:r>
    </w:p>
    <w:p>
      <w:pPr>
        <w:pStyle w:val="BodyText"/>
        <w:spacing w:before="16"/>
      </w:pPr>
    </w:p>
    <w:p>
      <w:pPr>
        <w:pStyle w:val="BodyText"/>
        <w:tabs>
          <w:tab w:pos="7735" w:val="left" w:leader="none"/>
        </w:tabs>
        <w:ind w:left="109"/>
        <w:jc w:val="both"/>
      </w:pPr>
      <w:r>
        <w:rPr/>
        <w:t>г. Белая </w:t>
      </w:r>
      <w:r>
        <w:rPr>
          <w:spacing w:val="-2"/>
        </w:rPr>
        <w:t>Калитва</w:t>
      </w:r>
      <w:r>
        <w:rPr/>
        <w:tab/>
      </w:r>
      <w:r>
        <w:rPr>
          <w:position w:val="1"/>
        </w:rPr>
        <w:drawing>
          <wp:inline distT="0" distB="0" distL="0" distR="0">
            <wp:extent cx="698500" cy="1270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80"/>
        </w:rPr>
        <w:t>  </w:t>
      </w:r>
      <w:r>
        <w:rPr/>
        <w:t>г.</w:t>
      </w:r>
    </w:p>
    <w:p>
      <w:pPr>
        <w:pStyle w:val="BodyText"/>
        <w:spacing w:before="314"/>
        <w:ind w:left="301"/>
        <w:jc w:val="both"/>
      </w:pPr>
      <w:r>
        <w:rPr/>
        <w:t>Администрация</w:t>
      </w:r>
      <w:r>
        <w:rPr>
          <w:spacing w:val="59"/>
        </w:rPr>
        <w:t>  </w:t>
      </w:r>
      <w:r>
        <w:rPr/>
        <w:t>Белокалитвинского</w:t>
      </w:r>
      <w:r>
        <w:rPr>
          <w:spacing w:val="59"/>
        </w:rPr>
        <w:t>  </w:t>
      </w:r>
      <w:r>
        <w:rPr/>
        <w:t>района,</w:t>
      </w:r>
      <w:r>
        <w:rPr>
          <w:spacing w:val="60"/>
        </w:rPr>
        <w:t>  </w:t>
      </w:r>
      <w:r>
        <w:rPr/>
        <w:t>именуемая</w:t>
      </w:r>
      <w:r>
        <w:rPr>
          <w:spacing w:val="59"/>
        </w:rPr>
        <w:t>  </w:t>
      </w:r>
      <w:r>
        <w:rPr/>
        <w:t>в</w:t>
      </w:r>
      <w:r>
        <w:rPr>
          <w:spacing w:val="60"/>
        </w:rPr>
        <w:t>  </w:t>
      </w:r>
      <w:r>
        <w:rPr>
          <w:spacing w:val="-2"/>
        </w:rPr>
        <w:t>дальнейшем</w:t>
      </w:r>
    </w:p>
    <w:p>
      <w:pPr>
        <w:pStyle w:val="BodyText"/>
        <w:ind w:left="1" w:right="138"/>
        <w:jc w:val="both"/>
      </w:pPr>
      <w:r>
        <w:rPr/>
        <w:t>«Администрация», в лице и.о. заместителя главы Администрации Белокалитвинского района по строительству, промышленности, транспорту, связи Кожанова Михаила Сергеевича, действующего на основании распоряжения</w:t>
      </w:r>
      <w:r>
        <w:rPr>
          <w:spacing w:val="-6"/>
        </w:rPr>
        <w:t> </w:t>
      </w:r>
      <w:r>
        <w:rPr/>
        <w:t>Администрации</w:t>
      </w:r>
      <w:r>
        <w:rPr>
          <w:spacing w:val="-6"/>
        </w:rPr>
        <w:t> </w:t>
      </w:r>
      <w:r>
        <w:rPr/>
        <w:t>Белокалитвинского</w:t>
      </w:r>
      <w:r>
        <w:rPr>
          <w:spacing w:val="-6"/>
        </w:rPr>
        <w:t> </w:t>
      </w:r>
      <w:r>
        <w:rPr/>
        <w:t>района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27.02.2026</w:t>
      </w:r>
      <w:r>
        <w:rPr>
          <w:spacing w:val="-6"/>
        </w:rPr>
        <w:t> </w:t>
      </w:r>
      <w:r>
        <w:rPr/>
        <w:t>№28-лк и доверенности от 31.03.2026 №65/307, с одной стороны, и Администрация Богураевского сельского поселения, именуемая в дальнейшем </w:t>
      </w:r>
      <w:r>
        <w:rPr/>
        <w:t>«Администрация поселения», в лице главы администрации Богураевского сельского поселения Белоконева Владимира Павловича, действующего на основании Устава муниципального образования «Богураевское сельское поселение» Белокалитвинского района Ростовской области с другой стороны, далее при совместном упоминании именуемые «Стороны», в соответствии с Бюджетным кодексом Российской Федерации, решением Собрания депутатов Белокалитвинского района от 25.12.2025 №260 «О бюджете Белокалитвинского района на 2026 год и плановый период 2027 и 2028 годов» и постановлением Администрации Белокалитвинского района от 05.12.2018 № 2083 «Об утверждении</w:t>
      </w:r>
      <w:r>
        <w:rPr>
          <w:spacing w:val="66"/>
        </w:rPr>
        <w:t>   </w:t>
      </w:r>
      <w:r>
        <w:rPr/>
        <w:t>муниципальной</w:t>
      </w:r>
      <w:r>
        <w:rPr>
          <w:spacing w:val="66"/>
        </w:rPr>
        <w:t>   </w:t>
      </w:r>
      <w:r>
        <w:rPr/>
        <w:t>программы</w:t>
      </w:r>
      <w:r>
        <w:rPr>
          <w:spacing w:val="67"/>
        </w:rPr>
        <w:t>   </w:t>
      </w:r>
      <w:r>
        <w:rPr/>
        <w:t>Белокалитвинского</w:t>
      </w:r>
      <w:r>
        <w:rPr>
          <w:spacing w:val="66"/>
        </w:rPr>
        <w:t>   </w:t>
      </w:r>
      <w:r>
        <w:rPr>
          <w:spacing w:val="-2"/>
        </w:rPr>
        <w:t>района</w:t>
      </w:r>
    </w:p>
    <w:p>
      <w:pPr>
        <w:pStyle w:val="BodyText"/>
        <w:ind w:left="1" w:right="139"/>
        <w:jc w:val="both"/>
      </w:pPr>
      <w:r>
        <w:rPr/>
        <w:t>«Обеспечение</w:t>
      </w:r>
      <w:r>
        <w:rPr>
          <w:spacing w:val="-1"/>
        </w:rPr>
        <w:t> </w:t>
      </w:r>
      <w:r>
        <w:rPr/>
        <w:t>доступным</w:t>
      </w:r>
      <w:r>
        <w:rPr>
          <w:spacing w:val="-1"/>
        </w:rPr>
        <w:t> </w:t>
      </w:r>
      <w:r>
        <w:rPr/>
        <w:t>и комфортным</w:t>
      </w:r>
      <w:r>
        <w:rPr>
          <w:spacing w:val="-1"/>
        </w:rPr>
        <w:t> </w:t>
      </w:r>
      <w:r>
        <w:rPr/>
        <w:t>жильем населения</w:t>
      </w:r>
      <w:r>
        <w:rPr>
          <w:spacing w:val="-1"/>
        </w:rPr>
        <w:t> </w:t>
      </w:r>
      <w:r>
        <w:rPr/>
        <w:t>Белокалитвинского района»,</w:t>
      </w:r>
      <w:r>
        <w:rPr>
          <w:spacing w:val="-6"/>
        </w:rPr>
        <w:t> </w:t>
      </w:r>
      <w:r>
        <w:rPr/>
        <w:t>заключили</w:t>
      </w:r>
      <w:r>
        <w:rPr>
          <w:spacing w:val="62"/>
        </w:rPr>
        <w:t> </w:t>
      </w:r>
      <w:r>
        <w:rPr/>
        <w:t>настоящее</w:t>
      </w:r>
      <w:r>
        <w:rPr>
          <w:spacing w:val="-4"/>
        </w:rPr>
        <w:t> </w:t>
      </w:r>
      <w:r>
        <w:rPr/>
        <w:t>дополнительное</w:t>
      </w:r>
      <w:r>
        <w:rPr>
          <w:spacing w:val="-4"/>
        </w:rPr>
        <w:t> </w:t>
      </w:r>
      <w:r>
        <w:rPr/>
        <w:t>соглашение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>
          <w:spacing w:val="-2"/>
        </w:rPr>
        <w:t>нижеследующем.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0" w:after="0"/>
        <w:ind w:left="1" w:right="139" w:firstLine="567"/>
        <w:jc w:val="both"/>
        <w:rPr>
          <w:sz w:val="28"/>
        </w:rPr>
      </w:pPr>
      <w:r>
        <w:rPr>
          <w:sz w:val="28"/>
        </w:rPr>
        <w:t>Стороны решили внести изменения в соглашение № 4 от 19.02.2026 о долевом финансировании мероприятий по переселению граждан из аварийного жилищного фонда, изложив пункты 2.1 - 2.2 в следующей редакции:</w:t>
      </w:r>
    </w:p>
    <w:p>
      <w:pPr>
        <w:pStyle w:val="BodyText"/>
        <w:ind w:left="1" w:right="139" w:firstLine="567"/>
        <w:jc w:val="both"/>
      </w:pPr>
      <w:r>
        <w:rPr/>
        <w:t>«2.1. Общий объем бюджетных ассигнований, предусматриваемых в бюджете</w:t>
      </w:r>
      <w:r>
        <w:rPr>
          <w:spacing w:val="-18"/>
        </w:rPr>
        <w:t> </w:t>
      </w:r>
      <w:r>
        <w:rPr/>
        <w:t>поселения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финансовое</w:t>
      </w:r>
      <w:r>
        <w:rPr>
          <w:spacing w:val="-17"/>
        </w:rPr>
        <w:t> </w:t>
      </w:r>
      <w:r>
        <w:rPr/>
        <w:t>обеспечение</w:t>
      </w:r>
      <w:r>
        <w:rPr>
          <w:spacing w:val="-18"/>
        </w:rPr>
        <w:t> </w:t>
      </w:r>
      <w:r>
        <w:rPr/>
        <w:t>расходных</w:t>
      </w:r>
      <w:r>
        <w:rPr>
          <w:spacing w:val="-17"/>
        </w:rPr>
        <w:t> </w:t>
      </w:r>
      <w:r>
        <w:rPr/>
        <w:t>обязательств,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целях софинансирования которых предоставляются иные МБТ, составляет:</w:t>
      </w:r>
    </w:p>
    <w:p>
      <w:pPr>
        <w:pStyle w:val="BodyText"/>
        <w:ind w:left="638"/>
        <w:jc w:val="both"/>
      </w:pPr>
      <w:r>
        <w:rPr/>
        <w:t>в</w:t>
      </w:r>
      <w:r>
        <w:rPr>
          <w:spacing w:val="65"/>
        </w:rPr>
        <w:t> </w:t>
      </w:r>
      <w:r>
        <w:rPr/>
        <w:t>2026</w:t>
      </w:r>
      <w:r>
        <w:rPr>
          <w:spacing w:val="68"/>
        </w:rPr>
        <w:t> </w:t>
      </w:r>
      <w:r>
        <w:rPr/>
        <w:t>году</w:t>
      </w:r>
      <w:r>
        <w:rPr>
          <w:spacing w:val="69"/>
        </w:rPr>
        <w:t> </w:t>
      </w:r>
      <w:r>
        <w:rPr/>
        <w:t>5</w:t>
      </w:r>
      <w:r>
        <w:rPr>
          <w:spacing w:val="-1"/>
        </w:rPr>
        <w:t> </w:t>
      </w:r>
      <w:r>
        <w:rPr/>
        <w:t>603</w:t>
      </w:r>
      <w:r>
        <w:rPr>
          <w:spacing w:val="-1"/>
        </w:rPr>
        <w:t> </w:t>
      </w:r>
      <w:r>
        <w:rPr/>
        <w:t>700</w:t>
      </w:r>
      <w:r>
        <w:rPr>
          <w:spacing w:val="68"/>
        </w:rPr>
        <w:t> </w:t>
      </w:r>
      <w:r>
        <w:rPr/>
        <w:t>(Пять</w:t>
      </w:r>
      <w:r>
        <w:rPr>
          <w:spacing w:val="68"/>
        </w:rPr>
        <w:t> </w:t>
      </w:r>
      <w:r>
        <w:rPr/>
        <w:t>миллионов</w:t>
      </w:r>
      <w:r>
        <w:rPr>
          <w:spacing w:val="67"/>
        </w:rPr>
        <w:t> </w:t>
      </w:r>
      <w:r>
        <w:rPr/>
        <w:t>шестьсот</w:t>
      </w:r>
      <w:r>
        <w:rPr>
          <w:spacing w:val="69"/>
        </w:rPr>
        <w:t> </w:t>
      </w:r>
      <w:r>
        <w:rPr/>
        <w:t>три</w:t>
      </w:r>
      <w:r>
        <w:rPr>
          <w:spacing w:val="67"/>
        </w:rPr>
        <w:t> </w:t>
      </w:r>
      <w:r>
        <w:rPr/>
        <w:t>тысячи</w:t>
      </w:r>
      <w:r>
        <w:rPr>
          <w:spacing w:val="68"/>
        </w:rPr>
        <w:t> </w:t>
      </w:r>
      <w:r>
        <w:rPr>
          <w:spacing w:val="-2"/>
        </w:rPr>
        <w:t>семьсот)</w:t>
      </w:r>
    </w:p>
    <w:p>
      <w:pPr>
        <w:pStyle w:val="BodyText"/>
        <w:ind w:left="1"/>
        <w:jc w:val="both"/>
      </w:pPr>
      <w:r>
        <w:rPr/>
        <w:t>рублей</w:t>
      </w:r>
      <w:r>
        <w:rPr>
          <w:spacing w:val="-4"/>
        </w:rPr>
        <w:t> </w:t>
      </w:r>
      <w:r>
        <w:rPr/>
        <w:t>00</w:t>
      </w:r>
      <w:r>
        <w:rPr>
          <w:spacing w:val="-2"/>
        </w:rPr>
        <w:t> копеек,</w:t>
      </w:r>
    </w:p>
    <w:p>
      <w:pPr>
        <w:pStyle w:val="BodyText"/>
        <w:ind w:left="638"/>
        <w:jc w:val="both"/>
      </w:pPr>
      <w:r>
        <w:rPr/>
        <w:t>в</w:t>
      </w:r>
      <w:r>
        <w:rPr>
          <w:spacing w:val="-2"/>
        </w:rPr>
        <w:t> </w:t>
      </w:r>
      <w:r>
        <w:rPr/>
        <w:t>2027</w:t>
      </w:r>
      <w:r>
        <w:rPr>
          <w:spacing w:val="-1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0 (Ноль)</w:t>
      </w:r>
      <w:r>
        <w:rPr>
          <w:spacing w:val="-1"/>
        </w:rPr>
        <w:t> </w:t>
      </w:r>
      <w:r>
        <w:rPr/>
        <w:t>рублей</w:t>
      </w:r>
      <w:r>
        <w:rPr>
          <w:spacing w:val="-2"/>
        </w:rPr>
        <w:t> </w:t>
      </w:r>
      <w:r>
        <w:rPr/>
        <w:t>00 </w:t>
      </w:r>
      <w:r>
        <w:rPr>
          <w:spacing w:val="-2"/>
        </w:rPr>
        <w:t>копеек,</w:t>
      </w:r>
    </w:p>
    <w:p>
      <w:pPr>
        <w:pStyle w:val="BodyText"/>
        <w:ind w:left="638"/>
        <w:jc w:val="both"/>
      </w:pPr>
      <w:r>
        <w:rPr/>
        <w:t>в</w:t>
      </w:r>
      <w:r>
        <w:rPr>
          <w:spacing w:val="-2"/>
        </w:rPr>
        <w:t> </w:t>
      </w:r>
      <w:r>
        <w:rPr/>
        <w:t>2028</w:t>
      </w:r>
      <w:r>
        <w:rPr>
          <w:spacing w:val="-1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0 (Ноль)</w:t>
      </w:r>
      <w:r>
        <w:rPr>
          <w:spacing w:val="-1"/>
        </w:rPr>
        <w:t> </w:t>
      </w:r>
      <w:r>
        <w:rPr/>
        <w:t>рублей</w:t>
      </w:r>
      <w:r>
        <w:rPr>
          <w:spacing w:val="-2"/>
        </w:rPr>
        <w:t> </w:t>
      </w:r>
      <w:r>
        <w:rPr/>
        <w:t>00 </w:t>
      </w:r>
      <w:r>
        <w:rPr>
          <w:spacing w:val="-2"/>
        </w:rPr>
        <w:t>копеек.</w:t>
      </w:r>
    </w:p>
    <w:p>
      <w:pPr>
        <w:pStyle w:val="BodyText"/>
        <w:ind w:left="1" w:right="139" w:firstLine="567"/>
        <w:jc w:val="both"/>
      </w:pPr>
      <w:r>
        <w:rPr/>
        <w:t>2.2.</w:t>
      </w:r>
      <w:r>
        <w:rPr>
          <w:spacing w:val="80"/>
        </w:rPr>
        <w:t> </w:t>
      </w:r>
      <w:r>
        <w:rPr/>
        <w:t>Размер иных МБТ, предоставляемых из бюджета района бюджету поселения в соответствии с настоящим Соглашением, исходя из выраженного в процентах от общего объема расходного обязательства муниципального образования, в целях софинансирования которого предоставляются иные МБТ:</w:t>
      </w:r>
    </w:p>
    <w:p>
      <w:pPr>
        <w:pStyle w:val="Heading1"/>
        <w:rPr>
          <w:b w:val="0"/>
        </w:rPr>
      </w:pPr>
      <w:r>
        <w:rPr/>
        <w:t>за</w:t>
      </w:r>
      <w:r>
        <w:rPr>
          <w:spacing w:val="-2"/>
        </w:rPr>
        <w:t> </w:t>
      </w:r>
      <w:r>
        <w:rPr/>
        <w:t>счет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областного</w:t>
      </w:r>
      <w:r>
        <w:rPr>
          <w:spacing w:val="-1"/>
        </w:rPr>
        <w:t> </w:t>
      </w:r>
      <w:r>
        <w:rPr/>
        <w:t>бюджета</w:t>
      </w:r>
      <w:r>
        <w:rPr>
          <w:spacing w:val="-1"/>
        </w:rPr>
        <w:t> </w:t>
      </w:r>
      <w:r>
        <w:rPr>
          <w:b w:val="0"/>
          <w:spacing w:val="-10"/>
        </w:rPr>
        <w:t>–</w:t>
      </w:r>
    </w:p>
    <w:p>
      <w:pPr>
        <w:pStyle w:val="BodyText"/>
        <w:ind w:left="1" w:firstLine="567"/>
      </w:pPr>
      <w:r>
        <w:rPr/>
        <w:t>уровня софинансирования, равного 94,8% составляет в 2026 году 5</w:t>
      </w:r>
      <w:r>
        <w:rPr>
          <w:spacing w:val="-4"/>
        </w:rPr>
        <w:t> </w:t>
      </w:r>
      <w:r>
        <w:rPr/>
        <w:t>312</w:t>
      </w:r>
      <w:r>
        <w:rPr>
          <w:spacing w:val="-4"/>
        </w:rPr>
        <w:t> </w:t>
      </w:r>
      <w:r>
        <w:rPr/>
        <w:t>300 (Пять миллионов триста двенадцать тысяч триста) рублей 00 копеек,</w:t>
      </w:r>
    </w:p>
    <w:p>
      <w:pPr>
        <w:pStyle w:val="BodyText"/>
        <w:ind w:left="1" w:firstLine="567"/>
      </w:pPr>
      <w:r>
        <w:rPr/>
        <w:t>уровня</w:t>
      </w:r>
      <w:r>
        <w:rPr>
          <w:spacing w:val="34"/>
        </w:rPr>
        <w:t> </w:t>
      </w:r>
      <w:r>
        <w:rPr/>
        <w:t>софинансирования,</w:t>
      </w:r>
      <w:r>
        <w:rPr>
          <w:spacing w:val="34"/>
        </w:rPr>
        <w:t> </w:t>
      </w:r>
      <w:r>
        <w:rPr/>
        <w:t>равного</w:t>
      </w:r>
      <w:r>
        <w:rPr>
          <w:spacing w:val="-3"/>
        </w:rPr>
        <w:t> </w:t>
      </w:r>
      <w:r>
        <w:rPr/>
        <w:t>0,0%</w:t>
      </w:r>
      <w:r>
        <w:rPr>
          <w:spacing w:val="34"/>
        </w:rPr>
        <w:t> </w:t>
      </w:r>
      <w:r>
        <w:rPr/>
        <w:t>составляет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2027</w:t>
      </w:r>
      <w:r>
        <w:rPr>
          <w:spacing w:val="34"/>
        </w:rPr>
        <w:t> </w:t>
      </w:r>
      <w:r>
        <w:rPr/>
        <w:t>году</w:t>
      </w:r>
      <w:r>
        <w:rPr>
          <w:spacing w:val="34"/>
        </w:rPr>
        <w:t> </w:t>
      </w:r>
      <w:r>
        <w:rPr/>
        <w:t>0</w:t>
      </w:r>
      <w:r>
        <w:rPr>
          <w:spacing w:val="34"/>
        </w:rPr>
        <w:t> </w:t>
      </w:r>
      <w:r>
        <w:rPr/>
        <w:t>(Ноль) рублей 00 копеек,</w:t>
      </w:r>
    </w:p>
    <w:p>
      <w:pPr>
        <w:pStyle w:val="BodyText"/>
        <w:ind w:left="1" w:firstLine="567"/>
      </w:pPr>
      <w:r>
        <w:rPr/>
        <w:t>уровня</w:t>
      </w:r>
      <w:r>
        <w:rPr>
          <w:spacing w:val="40"/>
        </w:rPr>
        <w:t> </w:t>
      </w:r>
      <w:r>
        <w:rPr/>
        <w:t>софинансирования,</w:t>
      </w:r>
      <w:r>
        <w:rPr>
          <w:spacing w:val="40"/>
        </w:rPr>
        <w:t> </w:t>
      </w:r>
      <w:r>
        <w:rPr/>
        <w:t>равного</w:t>
      </w:r>
      <w:r>
        <w:rPr>
          <w:spacing w:val="-3"/>
        </w:rPr>
        <w:t> </w:t>
      </w:r>
      <w:r>
        <w:rPr/>
        <w:t>0,0%</w:t>
      </w:r>
      <w:r>
        <w:rPr>
          <w:spacing w:val="-3"/>
        </w:rPr>
        <w:t> </w:t>
      </w:r>
      <w:r>
        <w:rPr/>
        <w:t>составляет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2028</w:t>
      </w:r>
      <w:r>
        <w:rPr>
          <w:spacing w:val="40"/>
        </w:rPr>
        <w:t> </w:t>
      </w:r>
      <w:r>
        <w:rPr/>
        <w:t>году</w:t>
      </w:r>
      <w:r>
        <w:rPr>
          <w:spacing w:val="40"/>
        </w:rPr>
        <w:t> </w:t>
      </w:r>
      <w:r>
        <w:rPr/>
        <w:t>0</w:t>
      </w:r>
      <w:r>
        <w:rPr>
          <w:spacing w:val="40"/>
        </w:rPr>
        <w:t> </w:t>
      </w:r>
      <w:r>
        <w:rPr/>
        <w:t>(Ноль) рублей 00 копеек;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1700" w:right="425"/>
        </w:sectPr>
      </w:pPr>
    </w:p>
    <w:p>
      <w:pPr>
        <w:pStyle w:val="Heading1"/>
        <w:spacing w:before="61"/>
        <w:rPr>
          <w:b w:val="0"/>
        </w:rPr>
      </w:pPr>
      <w:r>
        <w:rPr/>
        <w:t>за</w:t>
      </w:r>
      <w:r>
        <w:rPr>
          <w:spacing w:val="-2"/>
        </w:rPr>
        <w:t> </w:t>
      </w:r>
      <w:r>
        <w:rPr/>
        <w:t>счет</w:t>
      </w:r>
      <w:r>
        <w:rPr>
          <w:spacing w:val="-3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бюджета</w:t>
      </w:r>
      <w:r>
        <w:rPr>
          <w:spacing w:val="-2"/>
        </w:rPr>
        <w:t> </w:t>
      </w:r>
      <w:r>
        <w:rPr/>
        <w:t>района</w:t>
      </w:r>
      <w:r>
        <w:rPr>
          <w:spacing w:val="-1"/>
        </w:rPr>
        <w:t> </w:t>
      </w:r>
      <w:r>
        <w:rPr>
          <w:b w:val="0"/>
          <w:spacing w:val="-10"/>
        </w:rPr>
        <w:t>–</w:t>
      </w:r>
    </w:p>
    <w:p>
      <w:pPr>
        <w:pStyle w:val="BodyText"/>
        <w:ind w:left="1" w:firstLine="567"/>
      </w:pPr>
      <w:r>
        <w:rPr/>
        <w:t>в 2026 году 291</w:t>
      </w:r>
      <w:r>
        <w:rPr>
          <w:spacing w:val="-2"/>
        </w:rPr>
        <w:t> </w:t>
      </w:r>
      <w:r>
        <w:rPr/>
        <w:t>400 (Двести девяносто одна тысяча четыреста) рублей 00</w:t>
      </w:r>
      <w:r>
        <w:rPr>
          <w:spacing w:val="40"/>
        </w:rPr>
        <w:t> </w:t>
      </w:r>
      <w:r>
        <w:rPr>
          <w:spacing w:val="-2"/>
        </w:rPr>
        <w:t>копеек,</w:t>
      </w:r>
    </w:p>
    <w:p>
      <w:pPr>
        <w:pStyle w:val="BodyText"/>
        <w:ind w:left="568"/>
      </w:pPr>
      <w:r>
        <w:rPr/>
        <w:t>в</w:t>
      </w:r>
      <w:r>
        <w:rPr>
          <w:spacing w:val="-2"/>
        </w:rPr>
        <w:t> </w:t>
      </w:r>
      <w:r>
        <w:rPr/>
        <w:t>2027</w:t>
      </w:r>
      <w:r>
        <w:rPr>
          <w:spacing w:val="-1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0 (Ноль)</w:t>
      </w:r>
      <w:r>
        <w:rPr>
          <w:spacing w:val="-1"/>
        </w:rPr>
        <w:t> </w:t>
      </w:r>
      <w:r>
        <w:rPr/>
        <w:t>рублей</w:t>
      </w:r>
      <w:r>
        <w:rPr>
          <w:spacing w:val="-2"/>
        </w:rPr>
        <w:t> </w:t>
      </w:r>
      <w:r>
        <w:rPr/>
        <w:t>00 </w:t>
      </w:r>
      <w:r>
        <w:rPr>
          <w:spacing w:val="-2"/>
        </w:rPr>
        <w:t>копеек,</w:t>
      </w:r>
    </w:p>
    <w:p>
      <w:pPr>
        <w:pStyle w:val="BodyText"/>
        <w:ind w:left="568"/>
      </w:pPr>
      <w:r>
        <w:rPr/>
        <w:t>в</w:t>
      </w:r>
      <w:r>
        <w:rPr>
          <w:spacing w:val="-4"/>
        </w:rPr>
        <w:t> </w:t>
      </w:r>
      <w:r>
        <w:rPr/>
        <w:t>2028</w:t>
      </w:r>
      <w:r>
        <w:rPr>
          <w:spacing w:val="-1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0 (Ноль)</w:t>
      </w:r>
      <w:r>
        <w:rPr>
          <w:spacing w:val="-1"/>
        </w:rPr>
        <w:t> </w:t>
      </w:r>
      <w:r>
        <w:rPr/>
        <w:t>рублей</w:t>
      </w:r>
      <w:r>
        <w:rPr>
          <w:spacing w:val="-2"/>
        </w:rPr>
        <w:t> </w:t>
      </w:r>
      <w:r>
        <w:rPr/>
        <w:t>00 </w:t>
      </w:r>
      <w:r>
        <w:rPr>
          <w:spacing w:val="-2"/>
        </w:rPr>
        <w:t>копеек.».</w:t>
      </w:r>
    </w:p>
    <w:p>
      <w:pPr>
        <w:pStyle w:val="ListParagraph"/>
        <w:numPr>
          <w:ilvl w:val="0"/>
          <w:numId w:val="1"/>
        </w:numPr>
        <w:tabs>
          <w:tab w:pos="876" w:val="left" w:leader="none"/>
        </w:tabs>
        <w:spacing w:line="240" w:lineRule="auto" w:before="0" w:after="0"/>
        <w:ind w:left="1" w:right="139" w:firstLine="540"/>
        <w:jc w:val="both"/>
        <w:rPr>
          <w:sz w:val="28"/>
        </w:rPr>
      </w:pPr>
      <w:r>
        <w:rPr>
          <w:sz w:val="28"/>
        </w:rPr>
        <w:t>Настоящее дополнительное соглашение составлено в двух подлинных экземплярах, по одному для каждой из сторон, имеющих одинаковую юридическую силу</w:t>
      </w:r>
      <w:r>
        <w:rPr>
          <w:sz w:val="27"/>
        </w:rPr>
        <w:t>.</w:t>
      </w:r>
    </w:p>
    <w:p>
      <w:pPr>
        <w:pStyle w:val="ListParagraph"/>
        <w:numPr>
          <w:ilvl w:val="0"/>
          <w:numId w:val="1"/>
        </w:numPr>
        <w:tabs>
          <w:tab w:pos="4130" w:val="left" w:leader="none"/>
        </w:tabs>
        <w:spacing w:line="240" w:lineRule="auto" w:before="310" w:after="0"/>
        <w:ind w:left="4130" w:right="0" w:hanging="270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-7"/>
          <w:sz w:val="27"/>
        </w:rPr>
        <w:t> </w:t>
      </w:r>
      <w:r>
        <w:rPr>
          <w:spacing w:val="-2"/>
          <w:sz w:val="27"/>
        </w:rPr>
        <w:t>Сторон</w:t>
      </w:r>
    </w:p>
    <w:p>
      <w:pPr>
        <w:pStyle w:val="BodyText"/>
        <w:spacing w:before="6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top="640" w:bottom="280" w:left="1700" w:right="425"/>
        </w:sectPr>
      </w:pPr>
    </w:p>
    <w:p>
      <w:pPr>
        <w:pStyle w:val="BodyText"/>
        <w:spacing w:before="88"/>
        <w:ind w:left="187" w:firstLine="1197"/>
      </w:pPr>
      <w:r>
        <w:rPr>
          <w:spacing w:val="-2"/>
        </w:rPr>
        <w:t>Администрация </w:t>
      </w:r>
      <w:r>
        <w:rPr/>
        <w:t>Администрация</w:t>
      </w:r>
      <w:r>
        <w:rPr>
          <w:spacing w:val="-18"/>
        </w:rPr>
        <w:t> </w:t>
      </w:r>
      <w:r>
        <w:rPr/>
        <w:t>Белокалитвинского</w:t>
      </w:r>
    </w:p>
    <w:p>
      <w:pPr>
        <w:pStyle w:val="BodyText"/>
        <w:ind w:left="1925"/>
      </w:pPr>
      <w:r>
        <w:rPr>
          <w:spacing w:val="-2"/>
        </w:rPr>
        <w:t>района</w:t>
      </w:r>
    </w:p>
    <w:p>
      <w:pPr>
        <w:pStyle w:val="BodyText"/>
        <w:spacing w:before="88"/>
        <w:ind w:left="187" w:right="623"/>
        <w:jc w:val="center"/>
      </w:pPr>
      <w:r>
        <w:rPr/>
        <w:br w:type="column"/>
      </w:r>
      <w:r>
        <w:rPr/>
        <w:t>Администрация поселения Администрация</w:t>
      </w:r>
      <w:r>
        <w:rPr>
          <w:spacing w:val="-18"/>
        </w:rPr>
        <w:t> </w:t>
      </w:r>
      <w:r>
        <w:rPr/>
        <w:t>Богураевского сельского поселения</w:t>
      </w:r>
    </w:p>
    <w:p>
      <w:pPr>
        <w:pStyle w:val="BodyText"/>
        <w:spacing w:after="0"/>
        <w:jc w:val="center"/>
        <w:sectPr>
          <w:type w:val="continuous"/>
          <w:pgSz w:w="11910" w:h="16850"/>
          <w:pgMar w:top="640" w:bottom="280" w:left="1700" w:right="425"/>
          <w:cols w:num="2" w:equalWidth="0">
            <w:col w:w="4532" w:space="725"/>
            <w:col w:w="45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50"/>
          <w:pgMar w:top="640" w:bottom="280" w:left="1700" w:right="425"/>
        </w:sectPr>
      </w:pPr>
    </w:p>
    <w:p>
      <w:pPr>
        <w:spacing w:before="90"/>
        <w:ind w:left="11" w:right="0" w:hanging="1"/>
        <w:jc w:val="center"/>
        <w:rPr>
          <w:sz w:val="24"/>
        </w:rPr>
      </w:pPr>
      <w:r>
        <w:rPr>
          <w:sz w:val="24"/>
        </w:rPr>
        <w:t>И.о. заместителя главы</w:t>
      </w:r>
      <w:r>
        <w:rPr>
          <w:spacing w:val="40"/>
          <w:sz w:val="24"/>
        </w:rPr>
        <w:t> </w:t>
      </w:r>
      <w:r>
        <w:rPr>
          <w:sz w:val="24"/>
        </w:rPr>
        <w:t>Администрации Белокалитвинского</w:t>
      </w:r>
      <w:r>
        <w:rPr>
          <w:spacing w:val="-13"/>
          <w:sz w:val="24"/>
        </w:rPr>
        <w:t> </w:t>
      </w:r>
      <w:r>
        <w:rPr>
          <w:sz w:val="24"/>
        </w:rPr>
        <w:t>района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строительству, промышленности, транспорту, связи</w:t>
      </w:r>
    </w:p>
    <w:p>
      <w:pPr>
        <w:spacing w:before="90"/>
        <w:ind w:left="874" w:right="557" w:hanging="864"/>
        <w:jc w:val="left"/>
        <w:rPr>
          <w:sz w:val="24"/>
        </w:rPr>
      </w:pPr>
      <w:r>
        <w:rPr/>
        <w:br w:type="column"/>
      </w:r>
      <w:r>
        <w:rPr>
          <w:sz w:val="24"/>
        </w:rPr>
        <w:t>Глава</w:t>
      </w:r>
      <w:r>
        <w:rPr>
          <w:spacing w:val="-15"/>
          <w:sz w:val="24"/>
        </w:rPr>
        <w:t> </w:t>
      </w:r>
      <w:r>
        <w:rPr>
          <w:sz w:val="24"/>
        </w:rPr>
        <w:t>Администрации</w:t>
      </w:r>
      <w:r>
        <w:rPr>
          <w:spacing w:val="-15"/>
          <w:sz w:val="24"/>
        </w:rPr>
        <w:t> </w:t>
      </w:r>
      <w:r>
        <w:rPr>
          <w:sz w:val="24"/>
        </w:rPr>
        <w:t>Богураевского сельского поселения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640" w:bottom="280" w:left="1700" w:right="425"/>
          <w:cols w:num="2" w:equalWidth="0">
            <w:col w:w="4668" w:space="699"/>
            <w:col w:w="4418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tabs>
          <w:tab w:pos="5165" w:val="left" w:leader="none"/>
        </w:tabs>
        <w:spacing w:line="240" w:lineRule="auto"/>
        <w:ind w:left="2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601017" cy="90525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01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601017" cy="90525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01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4904" w:val="left" w:leader="none"/>
        </w:tabs>
        <w:spacing w:before="266"/>
        <w:ind w:left="0" w:right="83" w:firstLine="0"/>
        <w:jc w:val="center"/>
        <w:rPr>
          <w:sz w:val="24"/>
        </w:rPr>
      </w:pPr>
      <w:r>
        <w:rPr>
          <w:sz w:val="24"/>
        </w:rPr>
        <w:t>М.С. </w:t>
      </w:r>
      <w:r>
        <w:rPr>
          <w:spacing w:val="-2"/>
          <w:sz w:val="24"/>
        </w:rPr>
        <w:t>Кожанов</w:t>
      </w:r>
      <w:r>
        <w:rPr>
          <w:sz w:val="24"/>
        </w:rPr>
        <w:tab/>
        <w:t>В.П.</w:t>
      </w:r>
      <w:r>
        <w:rPr>
          <w:spacing w:val="-2"/>
          <w:sz w:val="24"/>
        </w:rPr>
        <w:t> Белоконев</w:t>
      </w:r>
    </w:p>
    <w:p>
      <w:pPr>
        <w:spacing w:after="0"/>
        <w:jc w:val="center"/>
        <w:rPr>
          <w:sz w:val="24"/>
        </w:rPr>
        <w:sectPr>
          <w:type w:val="continuous"/>
          <w:pgSz w:w="11910" w:h="16850"/>
          <w:pgMar w:top="640" w:bottom="280" w:left="1700" w:right="425"/>
        </w:sectPr>
      </w:pPr>
    </w:p>
    <w:p>
      <w:pPr>
        <w:pStyle w:val="BodyText"/>
        <w:spacing w:before="65"/>
        <w:ind w:right="423"/>
        <w:jc w:val="right"/>
      </w:pPr>
      <w:r>
        <w:rPr/>
        <w:t>Приложение №</w:t>
      </w:r>
      <w:r>
        <w:rPr>
          <w:spacing w:val="-1"/>
        </w:rPr>
        <w:t> </w:t>
      </w:r>
      <w:r>
        <w:rPr/>
        <w:t>1 к </w:t>
      </w:r>
      <w:r>
        <w:rPr>
          <w:spacing w:val="-2"/>
        </w:rPr>
        <w:t>Соглашению</w:t>
      </w:r>
    </w:p>
    <w:p>
      <w:pPr>
        <w:pStyle w:val="BodyText"/>
        <w:ind w:right="424"/>
        <w:jc w:val="right"/>
      </w:pPr>
      <w:r>
        <w:rPr/>
        <w:t>от 19.02.2026 №</w:t>
      </w:r>
      <w:r>
        <w:rPr>
          <w:spacing w:val="-1"/>
        </w:rPr>
        <w:t> </w:t>
      </w:r>
      <w:r>
        <w:rPr>
          <w:spacing w:val="-10"/>
        </w:rPr>
        <w:t>4</w:t>
      </w:r>
    </w:p>
    <w:p>
      <w:pPr>
        <w:pStyle w:val="BodyText"/>
        <w:spacing w:before="230"/>
      </w:pPr>
    </w:p>
    <w:p>
      <w:pPr>
        <w:spacing w:before="0"/>
        <w:ind w:left="70" w:right="493" w:firstLine="0"/>
        <w:jc w:val="center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> </w:t>
      </w:r>
      <w:r>
        <w:rPr>
          <w:sz w:val="24"/>
        </w:rPr>
        <w:t>многоквартирных</w:t>
      </w:r>
      <w:r>
        <w:rPr>
          <w:spacing w:val="-2"/>
          <w:sz w:val="24"/>
        </w:rPr>
        <w:t> </w:t>
      </w:r>
      <w:r>
        <w:rPr>
          <w:sz w:val="24"/>
        </w:rPr>
        <w:t>домов</w:t>
      </w:r>
      <w:r>
        <w:rPr>
          <w:spacing w:val="-4"/>
          <w:sz w:val="24"/>
        </w:rPr>
        <w:t> </w:t>
      </w:r>
      <w:r>
        <w:rPr>
          <w:sz w:val="24"/>
        </w:rPr>
        <w:t>Богураевского</w:t>
      </w:r>
      <w:r>
        <w:rPr>
          <w:spacing w:val="-2"/>
          <w:sz w:val="24"/>
        </w:rPr>
        <w:t> </w:t>
      </w:r>
      <w:r>
        <w:rPr>
          <w:sz w:val="24"/>
        </w:rPr>
        <w:t>сельского</w:t>
      </w:r>
      <w:r>
        <w:rPr>
          <w:spacing w:val="-2"/>
          <w:sz w:val="24"/>
        </w:rPr>
        <w:t> поселения,</w:t>
      </w:r>
    </w:p>
    <w:p>
      <w:pPr>
        <w:spacing w:before="0"/>
        <w:ind w:left="70" w:right="493" w:firstLine="0"/>
        <w:jc w:val="center"/>
        <w:rPr>
          <w:sz w:val="24"/>
        </w:rPr>
      </w:pPr>
      <w:r>
        <w:rPr>
          <w:sz w:val="24"/>
        </w:rPr>
        <w:t>признанных</w:t>
      </w:r>
      <w:r>
        <w:rPr>
          <w:spacing w:val="-3"/>
          <w:sz w:val="24"/>
        </w:rPr>
        <w:t> </w:t>
      </w:r>
      <w:r>
        <w:rPr>
          <w:sz w:val="24"/>
        </w:rPr>
        <w:t>аварийными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01.01.2017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подлежащими</w:t>
      </w:r>
      <w:r>
        <w:rPr>
          <w:spacing w:val="-3"/>
          <w:sz w:val="24"/>
        </w:rPr>
        <w:t> </w:t>
      </w:r>
      <w:r>
        <w:rPr>
          <w:sz w:val="24"/>
        </w:rPr>
        <w:t>отселению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</w:t>
      </w:r>
      <w:r>
        <w:rPr>
          <w:sz w:val="24"/>
        </w:rPr>
        <w:t>году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счет</w:t>
      </w:r>
      <w:r>
        <w:rPr>
          <w:spacing w:val="-2"/>
          <w:sz w:val="24"/>
        </w:rPr>
        <w:t> </w:t>
      </w:r>
      <w:r>
        <w:rPr>
          <w:sz w:val="24"/>
        </w:rPr>
        <w:t>средств</w:t>
      </w:r>
      <w:r>
        <w:rPr>
          <w:spacing w:val="-3"/>
          <w:sz w:val="24"/>
        </w:rPr>
        <w:t> </w:t>
      </w:r>
      <w:r>
        <w:rPr>
          <w:sz w:val="24"/>
        </w:rPr>
        <w:t>Фонда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территорий,</w:t>
      </w:r>
      <w:r>
        <w:rPr>
          <w:spacing w:val="-2"/>
          <w:sz w:val="24"/>
        </w:rPr>
        <w:t> </w:t>
      </w:r>
      <w:r>
        <w:rPr>
          <w:sz w:val="24"/>
        </w:rPr>
        <w:t>областного</w:t>
      </w:r>
      <w:r>
        <w:rPr>
          <w:spacing w:val="-2"/>
          <w:sz w:val="24"/>
        </w:rPr>
        <w:t> </w:t>
      </w:r>
      <w:r>
        <w:rPr>
          <w:sz w:val="24"/>
        </w:rPr>
        <w:t>и (или) местного бюджетов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2551"/>
        <w:gridCol w:w="1156"/>
        <w:gridCol w:w="1537"/>
        <w:gridCol w:w="1701"/>
        <w:gridCol w:w="1701"/>
        <w:gridCol w:w="1663"/>
        <w:gridCol w:w="1881"/>
        <w:gridCol w:w="2126"/>
      </w:tblGrid>
      <w:tr>
        <w:trPr>
          <w:trHeight w:val="689" w:hRule="atLeast"/>
        </w:trPr>
        <w:tc>
          <w:tcPr>
            <w:tcW w:w="534" w:type="dxa"/>
            <w:vMerge w:val="restart"/>
          </w:tcPr>
          <w:p>
            <w:pPr>
              <w:pStyle w:val="TableParagraph"/>
              <w:ind w:left="171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551" w:type="dxa"/>
            <w:vMerge w:val="restart"/>
          </w:tcPr>
          <w:p>
            <w:pPr>
              <w:pStyle w:val="TableParagraph"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направления расходования средств, включенного в государственную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программу Ростовской области</w:t>
            </w:r>
          </w:p>
        </w:tc>
        <w:tc>
          <w:tcPr>
            <w:tcW w:w="1156" w:type="dxa"/>
            <w:vMerge w:val="restart"/>
          </w:tcPr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граждан, подлежащих отселению, человек</w:t>
            </w:r>
          </w:p>
        </w:tc>
        <w:tc>
          <w:tcPr>
            <w:tcW w:w="1537" w:type="dxa"/>
            <w:vMerge w:val="restart"/>
          </w:tcPr>
          <w:p>
            <w:pPr>
              <w:pStyle w:val="TableParagraph"/>
              <w:ind w:left="225" w:right="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семей, подлежащих расселению, семей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ind w:left="187" w:right="17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Мощность (площадь, подлежащая </w:t>
            </w:r>
            <w:r>
              <w:rPr>
                <w:sz w:val="20"/>
              </w:rPr>
              <w:t>отселению),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кв. </w:t>
            </w:r>
            <w:r>
              <w:rPr>
                <w:spacing w:val="-6"/>
                <w:sz w:val="20"/>
              </w:rPr>
              <w:t>м.</w:t>
            </w:r>
          </w:p>
        </w:tc>
        <w:tc>
          <w:tcPr>
            <w:tcW w:w="7371" w:type="dxa"/>
            <w:gridSpan w:val="4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финансирования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переселению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граждан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аварийного жилищного фонда,</w:t>
            </w:r>
          </w:p>
          <w:p>
            <w:pPr>
              <w:pStyle w:val="TableParagraph"/>
              <w:spacing w:line="210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рублей</w:t>
            </w:r>
          </w:p>
        </w:tc>
      </w:tr>
      <w:tr>
        <w:trPr>
          <w:trHeight w:val="290" w:hRule="atLeast"/>
        </w:trPr>
        <w:tc>
          <w:tcPr>
            <w:tcW w:w="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670" w:type="dxa"/>
            <w:gridSpan w:val="3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 </w:t>
            </w:r>
            <w:r>
              <w:rPr>
                <w:spacing w:val="-2"/>
                <w:sz w:val="20"/>
              </w:rPr>
              <w:t>числе:</w:t>
            </w:r>
          </w:p>
        </w:tc>
      </w:tr>
      <w:tr>
        <w:trPr>
          <w:trHeight w:val="689" w:hRule="atLeast"/>
        </w:trPr>
        <w:tc>
          <w:tcPr>
            <w:tcW w:w="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spacing w:line="230" w:lineRule="atLeas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Фонда </w:t>
            </w:r>
            <w:r>
              <w:rPr>
                <w:spacing w:val="-2"/>
                <w:sz w:val="20"/>
              </w:rPr>
              <w:t>развития территорий</w:t>
            </w:r>
          </w:p>
        </w:tc>
        <w:tc>
          <w:tcPr>
            <w:tcW w:w="1881" w:type="dxa"/>
          </w:tcPr>
          <w:p>
            <w:pPr>
              <w:pStyle w:val="TableParagraph"/>
              <w:spacing w:line="230" w:lineRule="atLeast"/>
              <w:ind w:left="132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средства областного бюджета</w:t>
            </w:r>
          </w:p>
        </w:tc>
        <w:tc>
          <w:tcPr>
            <w:tcW w:w="2126" w:type="dxa"/>
          </w:tcPr>
          <w:p>
            <w:pPr>
              <w:pStyle w:val="TableParagraph"/>
              <w:ind w:left="684" w:right="262" w:hanging="407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местного </w:t>
            </w:r>
            <w:r>
              <w:rPr>
                <w:spacing w:val="-2"/>
                <w:sz w:val="20"/>
              </w:rPr>
              <w:t>бюджета</w:t>
            </w:r>
          </w:p>
        </w:tc>
      </w:tr>
      <w:tr>
        <w:trPr>
          <w:trHeight w:val="413" w:hRule="atLeast"/>
        </w:trPr>
        <w:tc>
          <w:tcPr>
            <w:tcW w:w="534" w:type="dxa"/>
          </w:tcPr>
          <w:p>
            <w:pPr>
              <w:pStyle w:val="TableParagraph"/>
              <w:spacing w:before="92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00" w:lineRule="atLeast"/>
              <w:ind w:left="108" w:right="181"/>
              <w:rPr>
                <w:sz w:val="18"/>
              </w:rPr>
            </w:pPr>
            <w:r>
              <w:rPr>
                <w:sz w:val="18"/>
              </w:rPr>
              <w:t>ст.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Богураево,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Путейная, д. 23</w:t>
            </w:r>
          </w:p>
        </w:tc>
        <w:tc>
          <w:tcPr>
            <w:tcW w:w="1156" w:type="dxa"/>
          </w:tcPr>
          <w:p>
            <w:pPr>
              <w:pStyle w:val="TableParagraph"/>
              <w:spacing w:before="103"/>
              <w:ind w:left="23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37" w:type="dxa"/>
          </w:tcPr>
          <w:p>
            <w:pPr>
              <w:pStyle w:val="TableParagraph"/>
              <w:spacing w:before="103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3"/>
              <w:ind w:left="1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177,8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3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13 371 </w:t>
            </w: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663" w:type="dxa"/>
          </w:tcPr>
          <w:p>
            <w:pPr>
              <w:pStyle w:val="TableParagraph"/>
              <w:spacing w:before="103"/>
              <w:ind w:left="13" w:right="3"/>
              <w:jc w:val="center"/>
              <w:rPr>
                <w:sz w:val="18"/>
              </w:rPr>
            </w:pPr>
            <w:r>
              <w:rPr>
                <w:sz w:val="18"/>
              </w:rPr>
              <w:t>7 767 </w:t>
            </w: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881" w:type="dxa"/>
          </w:tcPr>
          <w:p>
            <w:pPr>
              <w:pStyle w:val="TableParagraph"/>
              <w:spacing w:before="103"/>
              <w:ind w:left="132" w:right="122"/>
              <w:jc w:val="center"/>
              <w:rPr>
                <w:sz w:val="18"/>
              </w:rPr>
            </w:pPr>
            <w:r>
              <w:rPr>
                <w:sz w:val="18"/>
              </w:rPr>
              <w:t>5 312 </w:t>
            </w: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2126" w:type="dxa"/>
          </w:tcPr>
          <w:p>
            <w:pPr>
              <w:pStyle w:val="TableParagraph"/>
              <w:spacing w:before="103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291 </w:t>
            </w:r>
            <w:r>
              <w:rPr>
                <w:spacing w:val="-2"/>
                <w:sz w:val="18"/>
              </w:rPr>
              <w:t>400,00</w:t>
            </w:r>
          </w:p>
        </w:tc>
      </w:tr>
      <w:tr>
        <w:trPr>
          <w:trHeight w:val="252" w:hRule="atLeast"/>
        </w:trPr>
        <w:tc>
          <w:tcPr>
            <w:tcW w:w="3085" w:type="dxa"/>
            <w:gridSpan w:val="2"/>
          </w:tcPr>
          <w:p>
            <w:pPr>
              <w:pStyle w:val="TableParagraph"/>
              <w:spacing w:line="233" w:lineRule="exact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ИТОГО:</w:t>
            </w:r>
          </w:p>
        </w:tc>
        <w:tc>
          <w:tcPr>
            <w:tcW w:w="1156" w:type="dxa"/>
          </w:tcPr>
          <w:p>
            <w:pPr>
              <w:pStyle w:val="TableParagraph"/>
              <w:spacing w:before="23"/>
              <w:ind w:left="23" w:right="1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537" w:type="dxa"/>
          </w:tcPr>
          <w:p>
            <w:pPr>
              <w:pStyle w:val="TableParagraph"/>
              <w:spacing w:before="2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701" w:type="dxa"/>
          </w:tcPr>
          <w:p>
            <w:pPr>
              <w:pStyle w:val="TableParagraph"/>
              <w:spacing w:before="23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177,8</w:t>
            </w:r>
          </w:p>
        </w:tc>
        <w:tc>
          <w:tcPr>
            <w:tcW w:w="1701" w:type="dxa"/>
          </w:tcPr>
          <w:p>
            <w:pPr>
              <w:pStyle w:val="TableParagraph"/>
              <w:spacing w:before="2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13 371 </w:t>
            </w: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663" w:type="dxa"/>
          </w:tcPr>
          <w:p>
            <w:pPr>
              <w:pStyle w:val="TableParagraph"/>
              <w:spacing w:before="23"/>
              <w:ind w:left="13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7 767 </w:t>
            </w: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881" w:type="dxa"/>
          </w:tcPr>
          <w:p>
            <w:pPr>
              <w:pStyle w:val="TableParagraph"/>
              <w:spacing w:before="23"/>
              <w:ind w:left="132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5 312 </w:t>
            </w: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2126" w:type="dxa"/>
          </w:tcPr>
          <w:p>
            <w:pPr>
              <w:pStyle w:val="TableParagraph"/>
              <w:spacing w:before="2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291 </w:t>
            </w:r>
            <w:r>
              <w:rPr>
                <w:b/>
                <w:spacing w:val="-2"/>
                <w:sz w:val="18"/>
              </w:rPr>
              <w:t>400,00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footerReference w:type="default" r:id="rId8"/>
          <w:pgSz w:w="16840" w:h="11910" w:orient="landscape"/>
          <w:pgMar w:header="0" w:footer="785" w:top="1060" w:bottom="980" w:left="1133" w:right="708"/>
          <w:pgNumType w:start="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3909"/>
      </w:pPr>
      <w:r>
        <w:rPr/>
        <w:t>Показатели</w:t>
      </w:r>
      <w:r>
        <w:rPr>
          <w:spacing w:val="-10"/>
        </w:rPr>
        <w:t> </w:t>
      </w:r>
      <w:r>
        <w:rPr/>
        <w:t>результативности</w:t>
      </w:r>
      <w:r>
        <w:rPr>
          <w:spacing w:val="-9"/>
        </w:rPr>
        <w:t> </w:t>
      </w:r>
      <w:r>
        <w:rPr/>
        <w:t>использования</w:t>
      </w:r>
      <w:r>
        <w:rPr>
          <w:spacing w:val="-9"/>
        </w:rPr>
        <w:t> </w:t>
      </w:r>
      <w:r>
        <w:rPr/>
        <w:t>иных</w:t>
      </w:r>
      <w:r>
        <w:rPr>
          <w:spacing w:val="-8"/>
        </w:rPr>
        <w:t> </w:t>
      </w:r>
      <w:r>
        <w:rPr>
          <w:spacing w:val="-5"/>
        </w:rPr>
        <w:t>МБТ</w:t>
      </w:r>
    </w:p>
    <w:p>
      <w:pPr>
        <w:pStyle w:val="BodyText"/>
        <w:spacing w:before="65"/>
        <w:ind w:right="423"/>
        <w:jc w:val="right"/>
      </w:pPr>
      <w:r>
        <w:rPr/>
        <w:br w:type="column"/>
      </w:r>
      <w:r>
        <w:rPr/>
        <w:t>Приложение №</w:t>
      </w:r>
      <w:r>
        <w:rPr>
          <w:spacing w:val="-1"/>
        </w:rPr>
        <w:t> </w:t>
      </w:r>
      <w:r>
        <w:rPr/>
        <w:t>2 к </w:t>
      </w:r>
      <w:r>
        <w:rPr>
          <w:spacing w:val="-2"/>
        </w:rPr>
        <w:t>Соглашению</w:t>
      </w:r>
    </w:p>
    <w:p>
      <w:pPr>
        <w:pStyle w:val="BodyText"/>
        <w:ind w:right="424"/>
        <w:jc w:val="right"/>
      </w:pPr>
      <w:r>
        <w:rPr/>
        <w:t>от 19.02.2026 №</w:t>
      </w:r>
      <w:r>
        <w:rPr>
          <w:spacing w:val="-1"/>
        </w:rPr>
        <w:t> </w:t>
      </w:r>
      <w:r>
        <w:rPr>
          <w:spacing w:val="-10"/>
        </w:rPr>
        <w:t>4</w:t>
      </w:r>
    </w:p>
    <w:p>
      <w:pPr>
        <w:pStyle w:val="BodyText"/>
        <w:spacing w:after="0"/>
        <w:jc w:val="right"/>
        <w:sectPr>
          <w:footerReference w:type="default" r:id="rId9"/>
          <w:pgSz w:w="16840" w:h="11910" w:orient="landscape"/>
          <w:pgMar w:header="0" w:footer="724" w:top="1060" w:bottom="920" w:left="1133" w:right="708"/>
          <w:cols w:num="2" w:equalWidth="0">
            <w:col w:w="10658" w:space="18"/>
            <w:col w:w="4323"/>
          </w:cols>
        </w:sect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2249"/>
        <w:gridCol w:w="2020"/>
        <w:gridCol w:w="3114"/>
        <w:gridCol w:w="1973"/>
        <w:gridCol w:w="1676"/>
        <w:gridCol w:w="1157"/>
        <w:gridCol w:w="1505"/>
      </w:tblGrid>
      <w:tr>
        <w:trPr>
          <w:trHeight w:val="765" w:hRule="exac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102"/>
              <w:ind w:left="5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249" w:type="dxa"/>
            <w:vMerge w:val="restart"/>
          </w:tcPr>
          <w:p>
            <w:pPr>
              <w:pStyle w:val="TableParagraph"/>
              <w:spacing w:before="102"/>
              <w:ind w:left="655" w:hanging="2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</w:t>
            </w: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102"/>
              <w:ind w:left="340" w:hanging="8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3114" w:type="dxa"/>
            <w:vMerge w:val="restart"/>
          </w:tcPr>
          <w:p>
            <w:pPr>
              <w:pStyle w:val="TableParagraph"/>
              <w:spacing w:before="102"/>
              <w:ind w:left="215"/>
              <w:rPr>
                <w:sz w:val="24"/>
              </w:rPr>
            </w:pPr>
            <w:r>
              <w:rPr>
                <w:sz w:val="24"/>
              </w:rPr>
              <w:t>Наименование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1973" w:type="dxa"/>
            <w:vMerge w:val="restart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КБК</w:t>
            </w:r>
          </w:p>
        </w:tc>
        <w:tc>
          <w:tcPr>
            <w:tcW w:w="2833" w:type="dxa"/>
            <w:gridSpan w:val="2"/>
          </w:tcPr>
          <w:p>
            <w:pPr>
              <w:pStyle w:val="TableParagraph"/>
              <w:spacing w:before="102"/>
              <w:ind w:left="1084" w:right="242" w:hanging="84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 </w:t>
            </w:r>
            <w:hyperlink r:id="rId10">
              <w:r>
                <w:rPr>
                  <w:spacing w:val="-4"/>
                  <w:sz w:val="24"/>
                </w:rPr>
                <w:t>ОКЕИ</w:t>
              </w:r>
            </w:hyperlink>
          </w:p>
        </w:tc>
        <w:tc>
          <w:tcPr>
            <w:tcW w:w="1505" w:type="dxa"/>
            <w:vMerge w:val="restart"/>
          </w:tcPr>
          <w:p>
            <w:pPr>
              <w:pStyle w:val="TableParagraph"/>
              <w:spacing w:before="102"/>
              <w:ind w:left="190" w:right="188" w:firstLine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Плановое значение показателя</w:t>
            </w:r>
          </w:p>
        </w:tc>
      </w:tr>
      <w:tr>
        <w:trPr>
          <w:trHeight w:val="489" w:hRule="exac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57" w:type="dxa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exact"/>
        </w:trPr>
        <w:tc>
          <w:tcPr>
            <w:tcW w:w="684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49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20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14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73" w:type="dxa"/>
          </w:tcPr>
          <w:p>
            <w:pPr>
              <w:pStyle w:val="TableParagraph"/>
              <w:spacing w:before="102"/>
              <w:ind w:left="62" w:righ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76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57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05" w:type="dxa"/>
          </w:tcPr>
          <w:p>
            <w:pPr>
              <w:pStyle w:val="TableParagraph"/>
              <w:spacing w:before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388" w:hRule="exact"/>
        </w:trPr>
        <w:tc>
          <w:tcPr>
            <w:tcW w:w="684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102"/>
              <w:ind w:left="56"/>
              <w:rPr>
                <w:sz w:val="24"/>
              </w:rPr>
            </w:pPr>
            <w:r>
              <w:rPr>
                <w:sz w:val="24"/>
              </w:rPr>
              <w:t>Планируемая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97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ликвидируемого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(выкуп)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метр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055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177,8</w:t>
            </w: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многоквартирного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" w:hRule="exact"/>
        </w:trPr>
        <w:tc>
          <w:tcPr>
            <w:tcW w:w="684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24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жилищного фонда, признанного непригодным 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проживания,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аварийным,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сносу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73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2" w:hRule="exact"/>
        </w:trPr>
        <w:tc>
          <w:tcPr>
            <w:tcW w:w="684" w:type="dxa"/>
            <w:tcBorders>
              <w:bottom w:val="nil"/>
            </w:tcBorders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spacing w:before="1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(приобретение)</w:t>
            </w:r>
          </w:p>
        </w:tc>
        <w:tc>
          <w:tcPr>
            <w:tcW w:w="1676" w:type="dxa"/>
            <w:tcBorders>
              <w:bottom w:val="nil"/>
            </w:tcBorders>
          </w:tcPr>
          <w:p>
            <w:pPr>
              <w:pStyle w:val="TableParagraph"/>
              <w:spacing w:before="271"/>
              <w:ind w:left="591" w:hanging="363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 </w:t>
            </w:r>
            <w:r>
              <w:rPr>
                <w:spacing w:val="-4"/>
                <w:sz w:val="24"/>
              </w:rPr>
              <w:t>метр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055</w:t>
            </w:r>
          </w:p>
        </w:tc>
        <w:tc>
          <w:tcPr>
            <w:tcW w:w="1505" w:type="dxa"/>
            <w:tcBorders>
              <w:bottom w:val="nil"/>
            </w:tcBorders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0,0</w:t>
            </w: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Мероприятия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" w:hRule="exact"/>
        </w:trPr>
        <w:tc>
          <w:tcPr>
            <w:tcW w:w="684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24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переселению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0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Переселение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114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450" w:hRule="exact"/>
        </w:trPr>
        <w:tc>
          <w:tcPr>
            <w:tcW w:w="684" w:type="dxa"/>
            <w:tcBorders>
              <w:bottom w:val="nil"/>
            </w:tcBorders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 w:val="restart"/>
          </w:tcPr>
          <w:p>
            <w:pPr>
              <w:pStyle w:val="TableParagraph"/>
              <w:spacing w:before="102"/>
              <w:ind w:left="56" w:right="10"/>
              <w:rPr>
                <w:sz w:val="24"/>
              </w:rPr>
            </w:pPr>
            <w:r>
              <w:rPr>
                <w:sz w:val="24"/>
              </w:rPr>
              <w:t>Количество семей, переселенных из </w:t>
            </w:r>
            <w:r>
              <w:rPr>
                <w:spacing w:val="-2"/>
                <w:sz w:val="24"/>
              </w:rPr>
              <w:t>многоквартирного </w:t>
            </w:r>
            <w:r>
              <w:rPr>
                <w:sz w:val="24"/>
              </w:rPr>
              <w:t>жилищного фонда, признанного непригодным 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проживания,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аварийным, подлежащим сносу или </w:t>
            </w: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197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многоквартирного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аварийного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многоквартирного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аварийного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(выкуп)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896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81" w:hRule="exact"/>
        </w:trPr>
        <w:tc>
          <w:tcPr>
            <w:tcW w:w="6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жилищного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фонда,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жилищного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1" w:hRule="exact"/>
        </w:trPr>
        <w:tc>
          <w:tcPr>
            <w:tcW w:w="684" w:type="dxa"/>
            <w:tcBorders>
              <w:bottom w:val="nil"/>
            </w:tcBorders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ind w:left="56" w:right="371"/>
              <w:rPr>
                <w:sz w:val="24"/>
              </w:rPr>
            </w:pPr>
            <w:r>
              <w:rPr>
                <w:spacing w:val="-2"/>
                <w:sz w:val="24"/>
              </w:rPr>
              <w:t>признанного </w:t>
            </w:r>
            <w:r>
              <w:rPr>
                <w:sz w:val="24"/>
              </w:rPr>
              <w:t>непригодным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проживания,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ind w:left="56" w:right="78"/>
              <w:rPr>
                <w:sz w:val="24"/>
              </w:rPr>
            </w:pPr>
            <w:r>
              <w:rPr>
                <w:spacing w:val="-2"/>
                <w:sz w:val="24"/>
              </w:rPr>
              <w:t>фонда, признанного</w:t>
            </w:r>
          </w:p>
          <w:p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непригодным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>
            <w:pPr>
              <w:pStyle w:val="TableParagraph"/>
              <w:spacing w:before="149"/>
              <w:rPr>
                <w:sz w:val="24"/>
              </w:rPr>
            </w:pPr>
          </w:p>
          <w:p>
            <w:pPr>
              <w:pStyle w:val="TableParagraph"/>
              <w:spacing w:before="1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(приобретение)</w:t>
            </w:r>
          </w:p>
        </w:tc>
        <w:tc>
          <w:tcPr>
            <w:tcW w:w="1676" w:type="dxa"/>
            <w:tcBorders>
              <w:bottom w:val="nil"/>
            </w:tcBorders>
          </w:tcPr>
          <w:p>
            <w:pPr>
              <w:pStyle w:val="TableParagraph"/>
              <w:spacing w:before="149"/>
              <w:rPr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spacing w:before="149"/>
              <w:rPr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896</w:t>
            </w:r>
          </w:p>
        </w:tc>
        <w:tc>
          <w:tcPr>
            <w:tcW w:w="1505" w:type="dxa"/>
            <w:tcBorders>
              <w:bottom w:val="nil"/>
            </w:tcBorders>
          </w:tcPr>
          <w:p>
            <w:pPr>
              <w:pStyle w:val="TableParagraph"/>
              <w:spacing w:before="149"/>
              <w:rPr>
                <w:sz w:val="24"/>
              </w:rPr>
            </w:pPr>
          </w:p>
          <w:p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exact"/>
        </w:trPr>
        <w:tc>
          <w:tcPr>
            <w:tcW w:w="68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аварийным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проживания,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7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" w:hRule="exact"/>
        </w:trPr>
        <w:tc>
          <w:tcPr>
            <w:tcW w:w="6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56" w:right="196"/>
              <w:rPr>
                <w:sz w:val="24"/>
              </w:rPr>
            </w:pPr>
            <w:r>
              <w:rPr>
                <w:sz w:val="24"/>
              </w:rPr>
              <w:t>подлежащим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сносу 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реконструкции в рамках </w:t>
            </w:r>
            <w:r>
              <w:rPr>
                <w:spacing w:val="-2"/>
                <w:sz w:val="24"/>
              </w:rPr>
              <w:t>подпрограммы </w:t>
            </w:r>
            <w:r>
              <w:rPr>
                <w:sz w:val="24"/>
              </w:rPr>
              <w:t>"Оказание мер </w:t>
            </w: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56" w:right="78"/>
              <w:rPr>
                <w:sz w:val="24"/>
              </w:rPr>
            </w:pPr>
            <w:r>
              <w:rPr>
                <w:sz w:val="24"/>
              </w:rPr>
              <w:t>аварийным и </w:t>
            </w:r>
            <w:r>
              <w:rPr>
                <w:spacing w:val="-2"/>
                <w:sz w:val="24"/>
              </w:rPr>
              <w:t>подлежащим </w:t>
            </w:r>
            <w:r>
              <w:rPr>
                <w:sz w:val="24"/>
              </w:rPr>
              <w:t>сносу или </w:t>
            </w: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0" w:hRule="exact"/>
        </w:trPr>
        <w:tc>
          <w:tcPr>
            <w:tcW w:w="684" w:type="dxa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 w:val="restart"/>
          </w:tcPr>
          <w:p>
            <w:pPr>
              <w:pStyle w:val="TableParagraph"/>
              <w:spacing w:before="102"/>
              <w:ind w:left="56" w:right="10"/>
              <w:rPr>
                <w:sz w:val="24"/>
              </w:rPr>
            </w:pPr>
            <w:r>
              <w:rPr>
                <w:sz w:val="24"/>
              </w:rPr>
              <w:t>Количество семей, переселенных из </w:t>
            </w:r>
            <w:r>
              <w:rPr>
                <w:spacing w:val="-2"/>
                <w:sz w:val="24"/>
              </w:rPr>
              <w:t>многоквартирного </w:t>
            </w:r>
            <w:r>
              <w:rPr>
                <w:sz w:val="24"/>
              </w:rPr>
              <w:t>жилищного фонда, признанного непригодным 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проживания,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аварийным,</w:t>
            </w:r>
          </w:p>
        </w:tc>
        <w:tc>
          <w:tcPr>
            <w:tcW w:w="1973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(выкуп)</w:t>
            </w:r>
          </w:p>
        </w:tc>
        <w:tc>
          <w:tcPr>
            <w:tcW w:w="1676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57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  <w:tc>
          <w:tcPr>
            <w:tcW w:w="1505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990" w:hRule="exact"/>
        </w:trPr>
        <w:tc>
          <w:tcPr>
            <w:tcW w:w="684" w:type="dxa"/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(приобретение)</w:t>
            </w:r>
          </w:p>
        </w:tc>
        <w:tc>
          <w:tcPr>
            <w:tcW w:w="1676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57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  <w:tc>
          <w:tcPr>
            <w:tcW w:w="1505" w:type="dxa"/>
          </w:tcPr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type w:val="continuous"/>
          <w:pgSz w:w="16840" w:h="11910" w:orient="landscape"/>
          <w:pgMar w:header="0" w:footer="724" w:top="640" w:bottom="280" w:left="1133" w:right="708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2249"/>
        <w:gridCol w:w="2020"/>
        <w:gridCol w:w="3114"/>
        <w:gridCol w:w="1973"/>
        <w:gridCol w:w="1676"/>
        <w:gridCol w:w="1157"/>
        <w:gridCol w:w="1505"/>
      </w:tblGrid>
      <w:tr>
        <w:trPr>
          <w:trHeight w:val="388" w:hRule="exact"/>
        </w:trPr>
        <w:tc>
          <w:tcPr>
            <w:tcW w:w="68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 w:before="107"/>
              <w:ind w:left="56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 w:before="107"/>
              <w:ind w:left="56"/>
              <w:rPr>
                <w:sz w:val="24"/>
              </w:rPr>
            </w:pP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сносу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7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улучшении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жилищных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" w:hRule="exac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56" w:right="10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отдельным категориям граждан"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0" w:hRule="exact"/>
        </w:trPr>
        <w:tc>
          <w:tcPr>
            <w:tcW w:w="684" w:type="dxa"/>
            <w:tcBorders>
              <w:bottom w:val="nil"/>
            </w:tcBorders>
          </w:tcPr>
          <w:p>
            <w:pPr>
              <w:pStyle w:val="TableParagraph"/>
              <w:spacing w:before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bottom w:val="nil"/>
            </w:tcBorders>
          </w:tcPr>
          <w:p>
            <w:pPr>
              <w:pStyle w:val="TableParagraph"/>
              <w:spacing w:line="270" w:lineRule="atLeast" w:before="87"/>
              <w:ind w:left="56" w:right="118"/>
              <w:rPr>
                <w:sz w:val="24"/>
              </w:rPr>
            </w:pPr>
            <w:r>
              <w:rPr>
                <w:sz w:val="24"/>
              </w:rPr>
              <w:t>Общая площадь жилых помещений, планируемых к приобретению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(строящихся)</w:t>
            </w:r>
          </w:p>
        </w:tc>
        <w:tc>
          <w:tcPr>
            <w:tcW w:w="197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гражданам,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переселяемым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из</w:t>
            </w:r>
          </w:p>
          <w:p>
            <w:pPr>
              <w:pStyle w:val="TableParagraph"/>
              <w:spacing w:line="270" w:lineRule="atLeast"/>
              <w:ind w:left="56" w:right="1096"/>
              <w:rPr>
                <w:sz w:val="24"/>
              </w:rPr>
            </w:pPr>
            <w:r>
              <w:rPr>
                <w:spacing w:val="-2"/>
                <w:sz w:val="24"/>
              </w:rPr>
              <w:t>многоквартирного </w:t>
            </w:r>
            <w:r>
              <w:rPr>
                <w:sz w:val="24"/>
              </w:rPr>
              <w:t>жилищного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фонда,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591" w:hanging="363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 </w:t>
            </w:r>
            <w:r>
              <w:rPr>
                <w:spacing w:val="-4"/>
                <w:sz w:val="24"/>
              </w:rPr>
              <w:t>метр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055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признанного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непригодным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для проживания, </w:t>
            </w:r>
            <w:r>
              <w:rPr>
                <w:spacing w:val="-2"/>
                <w:sz w:val="24"/>
              </w:rPr>
              <w:t>аварийным,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exact"/>
        </w:trPr>
        <w:tc>
          <w:tcPr>
            <w:tcW w:w="6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сносу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7" w:hRule="exact"/>
        </w:trPr>
        <w:tc>
          <w:tcPr>
            <w:tcW w:w="68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6840" w:h="11910" w:orient="landscape"/>
      <w:pgMar w:header="0" w:footer="724" w:top="1100" w:bottom="9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7936">
              <wp:simplePos x="0" y="0"/>
              <wp:positionH relativeFrom="page">
                <wp:posOffset>9855200</wp:posOffset>
              </wp:positionH>
              <wp:positionV relativeFrom="page">
                <wp:posOffset>6924175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76pt;margin-top:545.210632pt;width:13pt;height:15.3pt;mso-position-horizontal-relative:page;mso-position-vertical-relative:page;z-index:-161085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8448">
              <wp:simplePos x="0" y="0"/>
              <wp:positionH relativeFrom="page">
                <wp:posOffset>9855200</wp:posOffset>
              </wp:positionH>
              <wp:positionV relativeFrom="page">
                <wp:posOffset>6924175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6pt;margin-top:545.210632pt;width:13pt;height:15.3pt;mso-position-horizontal-relative:page;mso-position-vertical-relative:page;z-index:-1610803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" w:hanging="3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6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4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1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9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8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6" w:hanging="3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6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9" w:hanging="27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yperlink" Target="consultantplus://offline/ref%3DF61D73A2AB6B9F867BC00A6B2B38F5F4FA6AE5ECE242313EAE9F8AF2A3OCT5O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2026-07-01T05:53:49Z</dcterms:created>
  <dcterms:modified xsi:type="dcterms:W3CDTF">2026-07-01T05:53:49Z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2026-04-14T00:00:00Z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2026-07-01T00:00:00Z</vt:filetime>
  </property>
  <property fmtid="{D5CDD505-2E9C-101B-9397-08002B2CF9AE}" pid="6" name="Producer">
    <vt:lpwstr>Aspose.PDF for .NET 23.2.0</vt:lpwstr>
  </property>
</Properties>
</file>