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</w:p>
    <w:p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 xml:space="preserve">БОГУРАЕВСКОЕ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0A693B" w:rsidRDefault="00636A9D" w:rsidP="00636A9D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03.09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2B5DA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0A693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119</w:t>
      </w:r>
    </w:p>
    <w:p w:rsidR="00E1294B" w:rsidRPr="000433D2" w:rsidRDefault="00070FE5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х</w:t>
      </w:r>
      <w:r w:rsidR="00E06D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r w:rsidR="008D4F4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Богураев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0A693B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D4F40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A693B" w:rsidRDefault="000A693B" w:rsidP="000A69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Белокалитвиснкого района Ростовской области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2B5DA9" w:rsidP="000A6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="008D4F40">
        <w:rPr>
          <w:rFonts w:ascii="Times New Roman" w:hAnsi="Times New Roman"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8D4F40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8D4F4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633E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Богураевского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  <w:r w:rsidR="000A693B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8D4F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0A693B">
        <w:rPr>
          <w:rFonts w:ascii="Times New Roman" w:hAnsi="Times New Roman"/>
          <w:color w:val="000000" w:themeColor="text1"/>
          <w:sz w:val="28"/>
          <w:szCs w:val="28"/>
        </w:rPr>
        <w:t xml:space="preserve"> Белокалитвинского района Ростовской области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D4F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0A693B" w:rsidRDefault="000A693B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Председатель Собрания депутатов-</w:t>
            </w:r>
          </w:p>
          <w:p w:rsidR="00F934F4" w:rsidRPr="000433D2" w:rsidRDefault="000A693B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лава </w:t>
            </w:r>
            <w:r w:rsidR="00633E8D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Богураевского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8D4F40" w:rsidRDefault="008D4F40" w:rsidP="002B5DA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   </w:t>
            </w:r>
          </w:p>
          <w:p w:rsidR="00F934F4" w:rsidRPr="000433D2" w:rsidRDefault="008D4F40" w:rsidP="00FD563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</w:t>
            </w:r>
            <w:r w:rsidR="00FD563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Т.В. Дьяконова</w:t>
            </w:r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633E8D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636A9D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03.09.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119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A693B">
        <w:rPr>
          <w:rFonts w:ascii="Times New Roman" w:hAnsi="Times New Roman"/>
          <w:color w:val="000000" w:themeColor="text1"/>
          <w:sz w:val="28"/>
          <w:szCs w:val="28"/>
        </w:rPr>
        <w:t xml:space="preserve">Богураевское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A693B">
        <w:rPr>
          <w:rFonts w:ascii="Times New Roman" w:hAnsi="Times New Roman"/>
          <w:color w:val="000000" w:themeColor="text1"/>
          <w:sz w:val="28"/>
          <w:szCs w:val="28"/>
        </w:rPr>
        <w:t>Белокалитвинского района Ростовской области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DA08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633E8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Богураевское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0A693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Белокалитвинского района Ростовской области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633E8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Богураевское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DA0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A089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DA089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DA089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Богураевском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DA089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DA089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DA0897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DA0897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A0897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33E8D">
        <w:rPr>
          <w:rFonts w:ascii="Times New Roman" w:hAnsi="Times New Roman"/>
          <w:bCs/>
          <w:sz w:val="28"/>
          <w:szCs w:val="28"/>
        </w:rPr>
        <w:t>Богураевского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F10A7E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DA0897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A0897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F10A7E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A0897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DA0897">
        <w:rPr>
          <w:b/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DA0897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633E8D">
        <w:rPr>
          <w:sz w:val="28"/>
          <w:szCs w:val="28"/>
        </w:rPr>
        <w:t>Богураевского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DA0897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DA0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DA0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A0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DA0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A0897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DA0897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1770D" w:rsidRPr="00515F36">
        <w:rPr>
          <w:rFonts w:ascii="Times New Roman" w:hAnsi="Times New Roman"/>
          <w:color w:val="000000" w:themeColor="text1"/>
          <w:sz w:val="28"/>
          <w:szCs w:val="28"/>
        </w:rPr>
        <w:t>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="0031770D"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F10A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</w:t>
      </w:r>
      <w:r w:rsidR="0001148A">
        <w:rPr>
          <w:rFonts w:ascii="Times New Roman" w:hAnsi="Times New Roman"/>
          <w:sz w:val="28"/>
          <w:szCs w:val="28"/>
        </w:rPr>
        <w:lastRenderedPageBreak/>
        <w:t>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DA0897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FA4006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FA4006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FA4006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FA40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FA40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A08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 xml:space="preserve">Богураевского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633E8D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7532CC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633E8D">
        <w:rPr>
          <w:color w:val="000000" w:themeColor="text1"/>
          <w:sz w:val="28"/>
          <w:szCs w:val="28"/>
        </w:rPr>
        <w:t>Богураевского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633E8D">
        <w:rPr>
          <w:color w:val="000000" w:themeColor="text1"/>
          <w:sz w:val="28"/>
          <w:szCs w:val="28"/>
        </w:rPr>
        <w:t>Богураевского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33E8D">
        <w:rPr>
          <w:rFonts w:ascii="Times New Roman" w:hAnsi="Times New Roman" w:cs="Times New Roman"/>
          <w:color w:val="000000" w:themeColor="text1"/>
          <w:sz w:val="28"/>
          <w:szCs w:val="28"/>
        </w:rPr>
        <w:t>Богураевского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>Богураевском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532CC">
        <w:rPr>
          <w:rFonts w:ascii="Times New Roman" w:hAnsi="Times New Roman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="007532CC">
        <w:rPr>
          <w:sz w:val="28"/>
          <w:szCs w:val="28"/>
        </w:rPr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</w:t>
      </w:r>
      <w:r w:rsidRPr="00515F36">
        <w:rPr>
          <w:sz w:val="28"/>
          <w:szCs w:val="28"/>
        </w:rPr>
        <w:lastRenderedPageBreak/>
        <w:t xml:space="preserve">направление инициативного проекта в Администрацию </w:t>
      </w:r>
      <w:r w:rsidR="00633E8D">
        <w:rPr>
          <w:sz w:val="28"/>
          <w:szCs w:val="28"/>
        </w:rPr>
        <w:t>Богураевского</w:t>
      </w:r>
      <w:r w:rsidR="00EE40D2" w:rsidRPr="00515F36">
        <w:rPr>
          <w:sz w:val="28"/>
          <w:szCs w:val="28"/>
        </w:rPr>
        <w:t xml:space="preserve"> сельского поселения</w:t>
      </w:r>
      <w:r w:rsidRPr="00515F36">
        <w:rPr>
          <w:sz w:val="28"/>
          <w:szCs w:val="28"/>
        </w:rPr>
        <w:t>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2B5DA9" w:rsidRPr="00C10F75" w:rsidRDefault="007532CC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F75">
        <w:rPr>
          <w:rFonts w:ascii="Times New Roman" w:hAnsi="Times New Roman"/>
          <w:sz w:val="28"/>
          <w:szCs w:val="28"/>
        </w:rPr>
        <w:t xml:space="preserve"> </w:t>
      </w:r>
      <w:r w:rsidR="002B5DA9" w:rsidRPr="00C10F75">
        <w:rPr>
          <w:rFonts w:ascii="Times New Roman" w:hAnsi="Times New Roman"/>
          <w:sz w:val="28"/>
          <w:szCs w:val="28"/>
        </w:rPr>
        <w:t xml:space="preserve">гарантийные письма юридических лиц, индивидуальных предпринимателей о намерении </w:t>
      </w:r>
      <w:r w:rsidR="00643BE0" w:rsidRPr="00C10F75">
        <w:rPr>
          <w:rFonts w:ascii="Times New Roman" w:hAnsi="Times New Roman"/>
          <w:sz w:val="28"/>
          <w:szCs w:val="28"/>
        </w:rPr>
        <w:t xml:space="preserve">принять имущественное участие или направить инициативные платежи </w:t>
      </w:r>
      <w:r w:rsidR="002B5DA9" w:rsidRPr="00C10F75">
        <w:rPr>
          <w:rFonts w:ascii="Times New Roman" w:hAnsi="Times New Roman"/>
          <w:sz w:val="28"/>
          <w:szCs w:val="28"/>
        </w:rPr>
        <w:t>на реализацию инициативного проекта,</w:t>
      </w:r>
      <w:r w:rsidRPr="00C10F75">
        <w:rPr>
          <w:rFonts w:ascii="Times New Roman" w:hAnsi="Times New Roman"/>
          <w:sz w:val="28"/>
          <w:szCs w:val="28"/>
        </w:rPr>
        <w:t xml:space="preserve"> </w:t>
      </w:r>
      <w:r w:rsidR="002B5DA9" w:rsidRPr="00C10F75">
        <w:rPr>
          <w:rFonts w:ascii="Times New Roman" w:hAnsi="Times New Roman"/>
          <w:sz w:val="28"/>
          <w:szCs w:val="28"/>
        </w:rPr>
        <w:t>выдвигаемого в целях получения финансовой поддержки за счет субсидий из областного бюджета</w:t>
      </w:r>
      <w:r w:rsidR="002B5DA9" w:rsidRPr="00C10F75">
        <w:rPr>
          <w:rFonts w:ascii="Times New Roman" w:hAnsi="Times New Roman"/>
          <w:sz w:val="28"/>
          <w:szCs w:val="28"/>
        </w:rPr>
        <w:br/>
        <w:t xml:space="preserve">на их реализацию (в случае </w:t>
      </w:r>
      <w:r w:rsidR="00275426" w:rsidRPr="00C10F75">
        <w:rPr>
          <w:rFonts w:ascii="Times New Roman" w:hAnsi="Times New Roman"/>
          <w:sz w:val="28"/>
          <w:szCs w:val="28"/>
        </w:rPr>
        <w:t>если планируется участие</w:t>
      </w:r>
      <w:r w:rsidR="002B5DA9" w:rsidRPr="00C10F75">
        <w:rPr>
          <w:rFonts w:ascii="Times New Roman" w:hAnsi="Times New Roman"/>
          <w:sz w:val="28"/>
          <w:szCs w:val="28"/>
        </w:rPr>
        <w:t xml:space="preserve"> юридических </w:t>
      </w:r>
      <w:r w:rsidR="00515F36" w:rsidRPr="00C10F75">
        <w:rPr>
          <w:rFonts w:ascii="Times New Roman" w:hAnsi="Times New Roman"/>
          <w:sz w:val="28"/>
          <w:szCs w:val="28"/>
        </w:rPr>
        <w:br/>
      </w:r>
      <w:r w:rsidR="002B5DA9" w:rsidRPr="00C10F75">
        <w:rPr>
          <w:rFonts w:ascii="Times New Roman" w:hAnsi="Times New Roman"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 w:rsidRPr="00C10F75">
        <w:rPr>
          <w:rFonts w:ascii="Times New Roman" w:hAnsi="Times New Roman"/>
          <w:sz w:val="28"/>
          <w:szCs w:val="28"/>
        </w:rPr>
        <w:br/>
      </w:r>
      <w:r w:rsidR="002B5DA9" w:rsidRPr="00C10F75">
        <w:rPr>
          <w:rFonts w:ascii="Times New Roman" w:hAnsi="Times New Roman"/>
          <w:sz w:val="28"/>
          <w:szCs w:val="28"/>
        </w:rPr>
        <w:t xml:space="preserve">в финансовой </w:t>
      </w:r>
      <w:r w:rsidR="00643BE0" w:rsidRPr="00C10F75">
        <w:rPr>
          <w:rFonts w:ascii="Times New Roman" w:hAnsi="Times New Roman"/>
          <w:sz w:val="28"/>
          <w:szCs w:val="28"/>
        </w:rPr>
        <w:t xml:space="preserve">или имущественной </w:t>
      </w:r>
      <w:r w:rsidR="00C10F75">
        <w:rPr>
          <w:rFonts w:ascii="Times New Roman" w:hAnsi="Times New Roman"/>
          <w:sz w:val="28"/>
          <w:szCs w:val="28"/>
        </w:rPr>
        <w:t>форме.</w:t>
      </w:r>
    </w:p>
    <w:p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="007532CC">
        <w:rPr>
          <w:rFonts w:ascii="Times New Roman" w:hAnsi="Times New Roman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>Белокалитвинского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>муниципальную комиссию по проведению конкурсного отбора инициативных проектов,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7532CC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 xml:space="preserve">в </w:t>
      </w:r>
      <w:r w:rsidR="00D41271">
        <w:rPr>
          <w:rFonts w:ascii="Times New Roman" w:hAnsi="Times New Roman"/>
          <w:sz w:val="28"/>
          <w:szCs w:val="28"/>
        </w:rPr>
        <w:lastRenderedPageBreak/>
        <w:t>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7532CC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7532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7532CC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 w:rsidR="007532CC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="007532C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="007532CC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 w:rsidR="007532CC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F10A7E">
        <w:tc>
          <w:tcPr>
            <w:tcW w:w="75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F10A7E">
        <w:tc>
          <w:tcPr>
            <w:tcW w:w="75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F10A7E">
        <w:trPr>
          <w:trHeight w:val="179"/>
        </w:trPr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F10A7E">
        <w:tc>
          <w:tcPr>
            <w:tcW w:w="759" w:type="dxa"/>
          </w:tcPr>
          <w:p w:rsidR="00F95F53" w:rsidRPr="002F1EA4" w:rsidRDefault="00F95F53" w:rsidP="00F10A7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F10A7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>сельское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F10A7E">
        <w:tc>
          <w:tcPr>
            <w:tcW w:w="425" w:type="dxa"/>
            <w:hideMark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F10A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="007532C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 w:rsidRPr="00710BE5">
              <w:rPr>
                <w:rFonts w:ascii="Times New Roman" w:hAnsi="Times New Roman"/>
              </w:rPr>
              <w:t>и/или</w:t>
            </w:r>
            <w:r w:rsidR="007532CC"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</w:p>
          <w:p w:rsidR="00F95F53" w:rsidRPr="00710BE5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F95F53" w:rsidRPr="00710BE5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F95F53" w:rsidRPr="00710BE5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F10A7E">
        <w:tc>
          <w:tcPr>
            <w:tcW w:w="425" w:type="dxa"/>
            <w:hideMark/>
          </w:tcPr>
          <w:p w:rsidR="00F95F53" w:rsidRPr="008349BE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F1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F10A7E">
        <w:trPr>
          <w:trHeight w:val="410"/>
        </w:trPr>
        <w:tc>
          <w:tcPr>
            <w:tcW w:w="425" w:type="dxa"/>
          </w:tcPr>
          <w:p w:rsidR="00F95F53" w:rsidRPr="007936FF" w:rsidRDefault="00F95F53" w:rsidP="00F10A7E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F10A7E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7532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633E8D">
              <w:rPr>
                <w:color w:val="000000" w:themeColor="text1"/>
                <w:sz w:val="28"/>
                <w:szCs w:val="28"/>
              </w:rPr>
              <w:t>Богураевского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633E8D">
              <w:rPr>
                <w:color w:val="000000" w:themeColor="text1"/>
                <w:sz w:val="28"/>
                <w:szCs w:val="28"/>
              </w:rPr>
              <w:t>Богураевского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="007532C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7532C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3E8D">
        <w:rPr>
          <w:rFonts w:ascii="Times New Roman" w:hAnsi="Times New Roman" w:cs="Times New Roman"/>
          <w:sz w:val="28"/>
          <w:szCs w:val="28"/>
        </w:rPr>
        <w:t>Богураевского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7532CC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33E8D">
        <w:rPr>
          <w:rFonts w:ascii="Times New Roman" w:hAnsi="Times New Roman" w:cs="Times New Roman"/>
          <w:sz w:val="28"/>
          <w:szCs w:val="28"/>
        </w:rPr>
        <w:t>Богураевского</w:t>
      </w:r>
      <w:r w:rsidR="007532C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7532CC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="007532CC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633E8D">
        <w:rPr>
          <w:rFonts w:ascii="Times New Roman" w:hAnsi="Times New Roman"/>
          <w:sz w:val="28"/>
          <w:szCs w:val="20"/>
        </w:rPr>
        <w:t>Богураевского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633E8D">
        <w:rPr>
          <w:rFonts w:ascii="Times New Roman" w:hAnsi="Times New Roman" w:cs="Times New Roman"/>
          <w:sz w:val="28"/>
          <w:szCs w:val="28"/>
        </w:rPr>
        <w:t>Богураевского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7532CC"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633E8D">
        <w:rPr>
          <w:rFonts w:ascii="Times New Roman" w:hAnsi="Times New Roman"/>
          <w:sz w:val="28"/>
          <w:szCs w:val="28"/>
        </w:rPr>
        <w:t>Богураевского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33E8D">
        <w:rPr>
          <w:rFonts w:ascii="Times New Roman" w:hAnsi="Times New Roman"/>
          <w:color w:val="000000" w:themeColor="text1"/>
          <w:sz w:val="28"/>
          <w:szCs w:val="28"/>
        </w:rPr>
        <w:t>Богураевское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="007532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E77" w:rsidRDefault="00623E77" w:rsidP="003D1FD5">
      <w:pPr>
        <w:spacing w:after="0" w:line="240" w:lineRule="auto"/>
      </w:pPr>
      <w:r>
        <w:separator/>
      </w:r>
    </w:p>
  </w:endnote>
  <w:endnote w:type="continuationSeparator" w:id="1">
    <w:p w:rsidR="00623E77" w:rsidRDefault="00623E77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E77" w:rsidRDefault="00623E77" w:rsidP="003D1FD5">
      <w:pPr>
        <w:spacing w:after="0" w:line="240" w:lineRule="auto"/>
      </w:pPr>
      <w:r>
        <w:separator/>
      </w:r>
    </w:p>
  </w:footnote>
  <w:footnote w:type="continuationSeparator" w:id="1">
    <w:p w:rsidR="00623E77" w:rsidRDefault="00623E77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31" w:rsidRPr="0040571C" w:rsidRDefault="007A22BF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FD5631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636A9D">
      <w:rPr>
        <w:noProof/>
        <w:sz w:val="20"/>
        <w:szCs w:val="20"/>
      </w:rPr>
      <w:t>2</w:t>
    </w:r>
    <w:r w:rsidRPr="0040571C">
      <w:rPr>
        <w:noProof/>
        <w:sz w:val="20"/>
        <w:szCs w:val="20"/>
      </w:rPr>
      <w:fldChar w:fldCharType="end"/>
    </w:r>
  </w:p>
  <w:p w:rsidR="00FD5631" w:rsidRDefault="00FD563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31" w:rsidRPr="0040571C" w:rsidRDefault="007A22BF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FD5631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636A9D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31" w:rsidRPr="00474B16" w:rsidRDefault="007A22BF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FD5631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636A9D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FD5631" w:rsidRDefault="00FD563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A693B"/>
    <w:rsid w:val="000B3ADE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866C9"/>
    <w:rsid w:val="001909C7"/>
    <w:rsid w:val="00192B00"/>
    <w:rsid w:val="00194C02"/>
    <w:rsid w:val="0019744D"/>
    <w:rsid w:val="001A2926"/>
    <w:rsid w:val="001A42CA"/>
    <w:rsid w:val="001A4546"/>
    <w:rsid w:val="001A4B73"/>
    <w:rsid w:val="001A53B0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08C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6C3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27D49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A6C55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3E77"/>
    <w:rsid w:val="006245C2"/>
    <w:rsid w:val="00625A56"/>
    <w:rsid w:val="00625E21"/>
    <w:rsid w:val="006314E1"/>
    <w:rsid w:val="00633E8D"/>
    <w:rsid w:val="00634BCD"/>
    <w:rsid w:val="00635632"/>
    <w:rsid w:val="00636A9D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35E3D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2CC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2BF"/>
    <w:rsid w:val="007A2A4F"/>
    <w:rsid w:val="007A2F97"/>
    <w:rsid w:val="007A7731"/>
    <w:rsid w:val="007B1494"/>
    <w:rsid w:val="007B6D6E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4F40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66E95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0F75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0897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0A7E"/>
    <w:rsid w:val="00F11889"/>
    <w:rsid w:val="00F13055"/>
    <w:rsid w:val="00F2173E"/>
    <w:rsid w:val="00F2604F"/>
    <w:rsid w:val="00F31009"/>
    <w:rsid w:val="00F37F02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006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631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2AD20-B62A-4D84-9C11-DD94C347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6594</Words>
  <Characters>37588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Наталья</cp:lastModifiedBy>
  <cp:revision>6</cp:revision>
  <cp:lastPrinted>2025-07-30T11:19:00Z</cp:lastPrinted>
  <dcterms:created xsi:type="dcterms:W3CDTF">2025-07-30T11:17:00Z</dcterms:created>
  <dcterms:modified xsi:type="dcterms:W3CDTF">2025-09-17T05:11:00Z</dcterms:modified>
</cp:coreProperties>
</file>